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20" w:rsidRDefault="00EF34B3">
      <w:pPr>
        <w:rPr>
          <w:b/>
        </w:rPr>
      </w:pPr>
      <w:r w:rsidRPr="00EF34B3">
        <w:rPr>
          <w:b/>
        </w:rPr>
        <w:t>Hospodaření s odpady v obci Klášterec nad Orlicí v roce 2021</w:t>
      </w:r>
    </w:p>
    <w:p w:rsidR="00502338" w:rsidRDefault="00502338">
      <w:r>
        <w:t>Vážení čtenáři, spoluobčané,</w:t>
      </w:r>
    </w:p>
    <w:p w:rsidR="00502338" w:rsidRDefault="00502338" w:rsidP="00502338">
      <w:pPr>
        <w:jc w:val="both"/>
      </w:pPr>
      <w:r>
        <w:t>v následujícím článku bych vás chtěl informovat o důležité problematice, které se obec věnuje prakticky denně, a to je hospodaření s odpady. V roce 2021 začal platit nový zákon o odpadech č.</w:t>
      </w:r>
      <w:r w:rsidR="000D66F9">
        <w:t> </w:t>
      </w:r>
      <w:r>
        <w:t>541/2020 Sb. Tento zákon jednak zpřísňuje pravidla nakládání s odpady a dále přidává obcím další povinnosti. Jednou z nich je povinnost informovat nejméně jednou ročně způsobem umožňujícím dálkový přístup o celkovém hospodaření s odpady, včetně finančních nákladů. Budu se tedy snažit článek o odpadech dále psát tak, aby vám byly podány informace tak, jak upřesňuje §60 výše zmíněného zákona.</w:t>
      </w:r>
    </w:p>
    <w:p w:rsidR="00502338" w:rsidRDefault="00502338" w:rsidP="00502338">
      <w:pPr>
        <w:jc w:val="both"/>
      </w:pPr>
      <w:r>
        <w:t>Tedy jakým způsobem mohou občané nakládat s odpady. Všem občanům obce je umožněno třídění odpadů a jejich oddělené odkládání do barevně rozlišených nádob – pro připomenutí: papír do modrých popelnic, pla</w:t>
      </w:r>
      <w:r w:rsidR="000D66F9">
        <w:t>s</w:t>
      </w:r>
      <w:r>
        <w:t xml:space="preserve">t do žlutých popelnic, sklo třídit na barevné – zelené zvony, na bílé – bílé zvony, bioodpad do hnědých popelnic, drobný železný odpad do šedivých popelnic, použitý rostlinný olej z domácností do černých popelnic, objemný odpad do velkoobjemového kontejneru v tzv. sběrném místě, které je zřízeno v bývalých kasárnách. Zde je možné také odložit větší kusy železa, elektronický odpad i elektroodpad. </w:t>
      </w:r>
      <w:proofErr w:type="gramStart"/>
      <w:r>
        <w:t>Sběrné</w:t>
      </w:r>
      <w:proofErr w:type="gramEnd"/>
      <w:r>
        <w:t xml:space="preserve"> místo je omezeno provozní dobou, od března do listopadu vždy v</w:t>
      </w:r>
      <w:r w:rsidR="003F2A2F">
        <w:t> </w:t>
      </w:r>
      <w:r>
        <w:t>sobotu</w:t>
      </w:r>
      <w:r w:rsidR="003F2A2F">
        <w:t xml:space="preserve"> 1 x za dva týdny v přesně stanovené </w:t>
      </w:r>
      <w:proofErr w:type="spellStart"/>
      <w:proofErr w:type="gramStart"/>
      <w:r w:rsidR="003F2A2F">
        <w:t>datumy</w:t>
      </w:r>
      <w:proofErr w:type="spellEnd"/>
      <w:r w:rsidR="003F2A2F">
        <w:t>.</w:t>
      </w:r>
      <w:proofErr w:type="gramEnd"/>
      <w:r w:rsidR="003F2A2F">
        <w:t xml:space="preserve"> Nebezpečný odpad je od občanů přebírán tzv. mobilním způsobem 2 x ročně, zpravidla koncem dubna a počátkem září. Na třech stanovištích je umístěn kontejner bílé barvy na sběr starého textilu. Zbytkový odpad, jinak také směsný komunální odpad (SKO)</w:t>
      </w:r>
      <w:r w:rsidR="000D66F9">
        <w:t>,</w:t>
      </w:r>
      <w:r w:rsidR="003F2A2F">
        <w:t xml:space="preserve"> mají občané možnost odložit do čtyř kontejnerů typu AVIA na vybraných stanovištích a dále do černých popelnic. Od srpna r. 2018 je zaveden svoz popelnic se SKO z domácností v rodinných domech.</w:t>
      </w:r>
    </w:p>
    <w:p w:rsidR="003F2A2F" w:rsidRDefault="003F2A2F" w:rsidP="00502338">
      <w:pPr>
        <w:jc w:val="both"/>
      </w:pPr>
      <w:r>
        <w:t>Nádoby, které jsou občanům k dispozici a kde mohou většinu odpadu vytřídit, jsou umístěny na 14</w:t>
      </w:r>
      <w:r w:rsidR="000D66F9">
        <w:t> </w:t>
      </w:r>
      <w:r>
        <w:t>stanovištích v obci, včetně dvou hřbitovů na odložení hřbitovního odpadu. Celkem je k dispozici 110</w:t>
      </w:r>
      <w:r w:rsidR="000D66F9">
        <w:t> </w:t>
      </w:r>
      <w:r>
        <w:t xml:space="preserve">ks nádob. Pokud je už odpad vytříděn, je s ním dále nakládáno vzhledem k jeho dalšímu využití. Společnost EKOLA České Libchavy, která z naší obce odpady odváží, vytříděné odpady předává k dalšímu využití specializovaným firmám (papír, plasty). Rovněž tak firma SUROVINY PLUNDRA Žamberk, která odváží z obce sklo a staré železo. Sebraný starý textil je z části využíván k dalšímu použití, případně se z něho vyrábí tzv. průmyslové tkaniny. </w:t>
      </w:r>
    </w:p>
    <w:p w:rsidR="00C275EF" w:rsidRDefault="003F2A2F" w:rsidP="00502338">
      <w:pPr>
        <w:jc w:val="both"/>
      </w:pPr>
      <w:r>
        <w:t>Sebraný bioodpad v popelnicích od občanů je svážen TS Žamberk a likvidován formou kompostování v Centru nakládání s odpady v Žamberku. Do tohoto zařízení odváží bioodpad i obec z údržby obecních zelených ploch. Množství využitelných odpadů je evidováno, 1 x za čtvrtletí formou hlášení předáno společnosti EKO-KOM a.s., specializované obalové společnosti. Za tyto využitelné odpady získává obec zpětně finanční odměnu. Ta činí ročně 130.000,- Kč – 150.000,-Kč</w:t>
      </w:r>
      <w:r w:rsidR="00C275EF">
        <w:t>. Zde mohu doplnit ještě jeden údaj – EKO-KOM mimo jiné propočítává podle množství využitelného odpadu tzv. EMISE CO.</w:t>
      </w:r>
    </w:p>
    <w:p w:rsidR="00C275EF" w:rsidRDefault="00C275EF" w:rsidP="00502338">
      <w:pPr>
        <w:jc w:val="both"/>
      </w:pPr>
      <w:r>
        <w:t>V roce 2020 naše obec tímto propočtem vykázala úsporu emisí CO</w:t>
      </w:r>
      <w:r>
        <w:rPr>
          <w:vertAlign w:val="subscript"/>
        </w:rPr>
        <w:t xml:space="preserve">2 </w:t>
      </w:r>
      <w:proofErr w:type="spellStart"/>
      <w:r>
        <w:t>ekv</w:t>
      </w:r>
      <w:proofErr w:type="spellEnd"/>
      <w:r>
        <w:t>.: 55,213 tun – bylo dosaženo díky rozvoji a provozu systému tříděného sběru a recyklace využitelných složek KO se společností EKO-KOM a.s. a přispěli jsme tak ke zlepšení životního prostředí a snížení uhlíkové stopy.</w:t>
      </w:r>
    </w:p>
    <w:p w:rsidR="00C275EF" w:rsidRDefault="00C275EF" w:rsidP="00502338">
      <w:pPr>
        <w:jc w:val="both"/>
      </w:pPr>
      <w:r>
        <w:lastRenderedPageBreak/>
        <w:t xml:space="preserve">Vážení čtenáři, až dosud v článku píši, jak je možné odpady třídit – správně třídit – podle barevných popelnic. </w:t>
      </w:r>
      <w:r w:rsidRPr="00F72779">
        <w:rPr>
          <w:b/>
        </w:rPr>
        <w:t>Měli bychom si však možná položit otázku, zda je možné vzniku odpadu předcházet nebo alespoň jeho množství eliminovat</w:t>
      </w:r>
      <w:r>
        <w:t>. A zde musí opravdu začít každý sám u sebe – odpovědnost a zájem, jak správně už vzniklý odpad odložit. A zde jsem dospěl k bodu správné třídění odpadu. S touto činností má stále hodně našich spoluobčanů problém. Mohl bych dále dá</w:t>
      </w:r>
      <w:r w:rsidR="00F72779">
        <w:t>t</w:t>
      </w:r>
      <w:r>
        <w:t xml:space="preserve"> příklady toho, jak nedbale je tato činnost prováděna. V kontejnerech typu AVIA odpad v papírových krabicích, také plasty, dřevo, ale i pneumatiky, elektronika. Problém je v poslední době papír – rozšířením zásilkových služeb narostlo množství papírových krabic pohozených u popelnic a nevytříděných plastů, polystyrénu a krabice samozřejmě </w:t>
      </w:r>
      <w:proofErr w:type="spellStart"/>
      <w:r>
        <w:t>nesešplápnuté</w:t>
      </w:r>
      <w:proofErr w:type="spellEnd"/>
      <w:r>
        <w:t xml:space="preserve">. Ale objevuje </w:t>
      </w:r>
      <w:r w:rsidR="00F72779">
        <w:t xml:space="preserve">se </w:t>
      </w:r>
      <w:r>
        <w:t xml:space="preserve">papír i v popelnicích na SKO. Nejvíce mne zlobí, že popelnice na tříděný odpad jsou na stanovištích k dispozici. Aby nedocházelo k přeplňování nádob, zavedli </w:t>
      </w:r>
      <w:r w:rsidR="00D84380">
        <w:t xml:space="preserve">jsme od letošního roku svoz plastů 1 x za 14 dní. Stanoviště sběrných nádob se snažíme pravidelně kontrolovat a udržovat pořádek. Pro snižování objemu bioodpadu ve SKO jsme zavedli projekt domácího kompostování propůjčením 60 ks kompostérů občanům obce. Tento projekt letošní rok končí a kompostéry budou občanům bezplatně převedeny. Zastupitelstvo obce se odpadovou problematikou pravidelně zabývá, projednává možnosti zlepšování stavu ve vztahu k možnostem třídění, ale např. i předcházení vzniku odpadů. </w:t>
      </w:r>
      <w:r w:rsidR="00D84380" w:rsidRPr="00F72779">
        <w:rPr>
          <w:b/>
        </w:rPr>
        <w:t>Na sběrném místě v bývalých kasárnách je možné např. získat některé zachovalé předměty k dalšímu využití.</w:t>
      </w:r>
      <w:r w:rsidR="00D84380">
        <w:t xml:space="preserve"> </w:t>
      </w:r>
    </w:p>
    <w:p w:rsidR="00D84380" w:rsidRPr="00C275EF" w:rsidRDefault="00D84380" w:rsidP="00502338">
      <w:pPr>
        <w:jc w:val="both"/>
        <w:rPr>
          <w:vertAlign w:val="subscript"/>
        </w:rPr>
      </w:pPr>
      <w:r>
        <w:t xml:space="preserve">Další část článku lze nazvat: „Kolik a za kolik“. Tedy kolik odpadu bylo vyprodukováno a jaké náklady s tím byly spojeny. Snažil jsem se potřebné údaje uvést v následující </w:t>
      </w:r>
      <w:r w:rsidR="00F72779">
        <w:t>tabulce:</w:t>
      </w:r>
    </w:p>
    <w:tbl>
      <w:tblPr>
        <w:tblStyle w:val="Mkatabulky"/>
        <w:tblW w:w="0" w:type="auto"/>
        <w:tblInd w:w="1101" w:type="dxa"/>
        <w:tblLook w:val="04A0" w:firstRow="1" w:lastRow="0" w:firstColumn="1" w:lastColumn="0" w:noHBand="0" w:noVBand="1"/>
      </w:tblPr>
      <w:tblGrid>
        <w:gridCol w:w="1559"/>
        <w:gridCol w:w="2410"/>
        <w:gridCol w:w="1701"/>
      </w:tblGrid>
      <w:tr w:rsidR="00D84380" w:rsidTr="00FE24D2">
        <w:tc>
          <w:tcPr>
            <w:tcW w:w="1559" w:type="dxa"/>
          </w:tcPr>
          <w:p w:rsidR="00D84380" w:rsidRPr="00FE24D2" w:rsidRDefault="00D84380" w:rsidP="00502338">
            <w:pPr>
              <w:jc w:val="both"/>
              <w:rPr>
                <w:b/>
                <w:vertAlign w:val="subscript"/>
              </w:rPr>
            </w:pPr>
            <w:r w:rsidRPr="00FE24D2">
              <w:rPr>
                <w:b/>
                <w:vertAlign w:val="subscript"/>
              </w:rPr>
              <w:t>MNOŽSTVÍ (tun</w:t>
            </w:r>
            <w:r w:rsidR="00FE24D2">
              <w:rPr>
                <w:b/>
                <w:vertAlign w:val="subscript"/>
              </w:rPr>
              <w:t>, litrů</w:t>
            </w:r>
            <w:r w:rsidRPr="00FE24D2">
              <w:rPr>
                <w:b/>
                <w:vertAlign w:val="subscript"/>
              </w:rPr>
              <w:t>):</w:t>
            </w:r>
          </w:p>
        </w:tc>
        <w:tc>
          <w:tcPr>
            <w:tcW w:w="2410" w:type="dxa"/>
          </w:tcPr>
          <w:p w:rsidR="00D84380" w:rsidRPr="00FE24D2" w:rsidRDefault="00D84380" w:rsidP="00502338">
            <w:pPr>
              <w:jc w:val="both"/>
              <w:rPr>
                <w:b/>
                <w:vertAlign w:val="subscript"/>
              </w:rPr>
            </w:pPr>
            <w:r w:rsidRPr="00FE24D2">
              <w:rPr>
                <w:b/>
                <w:vertAlign w:val="subscript"/>
              </w:rPr>
              <w:t>NÁZEV ODPADU:</w:t>
            </w:r>
          </w:p>
        </w:tc>
        <w:tc>
          <w:tcPr>
            <w:tcW w:w="1701" w:type="dxa"/>
          </w:tcPr>
          <w:p w:rsidR="00D84380" w:rsidRPr="00FE24D2" w:rsidRDefault="00D84380" w:rsidP="00502338">
            <w:pPr>
              <w:jc w:val="both"/>
              <w:rPr>
                <w:b/>
                <w:vertAlign w:val="subscript"/>
              </w:rPr>
            </w:pPr>
            <w:r w:rsidRPr="00FE24D2">
              <w:rPr>
                <w:b/>
                <w:vertAlign w:val="subscript"/>
              </w:rPr>
              <w:t>FINANČNÍ NÁKLADY</w:t>
            </w:r>
            <w:r w:rsidR="00FE24D2" w:rsidRPr="00FE24D2">
              <w:rPr>
                <w:b/>
                <w:vertAlign w:val="subscript"/>
              </w:rPr>
              <w:t xml:space="preserve"> (Kč)</w:t>
            </w:r>
            <w:r w:rsidRPr="00FE24D2">
              <w:rPr>
                <w:b/>
                <w:vertAlign w:val="subscript"/>
              </w:rPr>
              <w:t>:</w:t>
            </w:r>
          </w:p>
        </w:tc>
      </w:tr>
      <w:tr w:rsidR="00D84380" w:rsidTr="00FE24D2">
        <w:tc>
          <w:tcPr>
            <w:tcW w:w="1559" w:type="dxa"/>
          </w:tcPr>
          <w:p w:rsidR="00D84380" w:rsidRDefault="00FE24D2" w:rsidP="00FE24D2">
            <w:pPr>
              <w:jc w:val="right"/>
              <w:rPr>
                <w:vertAlign w:val="subscript"/>
              </w:rPr>
            </w:pPr>
            <w:r>
              <w:rPr>
                <w:vertAlign w:val="subscript"/>
              </w:rPr>
              <w:t>110,96 t</w:t>
            </w:r>
          </w:p>
        </w:tc>
        <w:tc>
          <w:tcPr>
            <w:tcW w:w="2410" w:type="dxa"/>
          </w:tcPr>
          <w:p w:rsidR="00D84380" w:rsidRDefault="00FE24D2" w:rsidP="00502338">
            <w:pPr>
              <w:jc w:val="both"/>
              <w:rPr>
                <w:vertAlign w:val="subscript"/>
              </w:rPr>
            </w:pPr>
            <w:r>
              <w:rPr>
                <w:vertAlign w:val="subscript"/>
              </w:rPr>
              <w:t>SKO – popelnice - odvoz</w:t>
            </w:r>
          </w:p>
        </w:tc>
        <w:tc>
          <w:tcPr>
            <w:tcW w:w="1701" w:type="dxa"/>
          </w:tcPr>
          <w:p w:rsidR="00D84380" w:rsidRDefault="00FE24D2" w:rsidP="00FE24D2">
            <w:pPr>
              <w:jc w:val="right"/>
              <w:rPr>
                <w:vertAlign w:val="subscript"/>
              </w:rPr>
            </w:pPr>
            <w:r>
              <w:rPr>
                <w:vertAlign w:val="subscript"/>
              </w:rPr>
              <w:t>295.176,-</w:t>
            </w:r>
          </w:p>
        </w:tc>
      </w:tr>
      <w:tr w:rsidR="00D84380" w:rsidTr="00FE24D2">
        <w:tc>
          <w:tcPr>
            <w:tcW w:w="1559" w:type="dxa"/>
          </w:tcPr>
          <w:p w:rsidR="00D84380" w:rsidRDefault="00FE24D2" w:rsidP="00FE24D2">
            <w:pPr>
              <w:jc w:val="right"/>
              <w:rPr>
                <w:vertAlign w:val="subscript"/>
              </w:rPr>
            </w:pPr>
            <w:r>
              <w:rPr>
                <w:vertAlign w:val="subscript"/>
              </w:rPr>
              <w:t>61,99 t</w:t>
            </w:r>
          </w:p>
        </w:tc>
        <w:tc>
          <w:tcPr>
            <w:tcW w:w="2410" w:type="dxa"/>
          </w:tcPr>
          <w:p w:rsidR="00D84380" w:rsidRDefault="00FE24D2" w:rsidP="00502338">
            <w:pPr>
              <w:jc w:val="both"/>
              <w:rPr>
                <w:vertAlign w:val="subscript"/>
              </w:rPr>
            </w:pPr>
            <w:r>
              <w:rPr>
                <w:vertAlign w:val="subscript"/>
              </w:rPr>
              <w:t>SKO – kontejnery AVIA - odvoz</w:t>
            </w:r>
          </w:p>
        </w:tc>
        <w:tc>
          <w:tcPr>
            <w:tcW w:w="1701" w:type="dxa"/>
          </w:tcPr>
          <w:p w:rsidR="00D84380" w:rsidRDefault="00FE24D2" w:rsidP="00FE24D2">
            <w:pPr>
              <w:jc w:val="right"/>
              <w:rPr>
                <w:vertAlign w:val="subscript"/>
              </w:rPr>
            </w:pPr>
            <w:r>
              <w:rPr>
                <w:vertAlign w:val="subscript"/>
              </w:rPr>
              <w:t>95.933,-</w:t>
            </w:r>
          </w:p>
        </w:tc>
      </w:tr>
      <w:tr w:rsidR="00D84380" w:rsidTr="00FE24D2">
        <w:tc>
          <w:tcPr>
            <w:tcW w:w="1559" w:type="dxa"/>
          </w:tcPr>
          <w:p w:rsidR="00D84380" w:rsidRDefault="00FE24D2" w:rsidP="00FE24D2">
            <w:pPr>
              <w:jc w:val="right"/>
              <w:rPr>
                <w:vertAlign w:val="subscript"/>
              </w:rPr>
            </w:pPr>
            <w:r>
              <w:rPr>
                <w:vertAlign w:val="subscript"/>
              </w:rPr>
              <w:t>172,95 t</w:t>
            </w:r>
          </w:p>
        </w:tc>
        <w:tc>
          <w:tcPr>
            <w:tcW w:w="2410" w:type="dxa"/>
          </w:tcPr>
          <w:p w:rsidR="00D84380" w:rsidRDefault="00FE24D2" w:rsidP="00502338">
            <w:pPr>
              <w:jc w:val="both"/>
              <w:rPr>
                <w:vertAlign w:val="subscript"/>
              </w:rPr>
            </w:pPr>
            <w:r>
              <w:rPr>
                <w:vertAlign w:val="subscript"/>
              </w:rPr>
              <w:t>SKO – uložení na skládku</w:t>
            </w:r>
          </w:p>
        </w:tc>
        <w:tc>
          <w:tcPr>
            <w:tcW w:w="1701" w:type="dxa"/>
          </w:tcPr>
          <w:p w:rsidR="00FE24D2" w:rsidRDefault="00FE24D2" w:rsidP="00FE24D2">
            <w:pPr>
              <w:jc w:val="right"/>
              <w:rPr>
                <w:vertAlign w:val="subscript"/>
              </w:rPr>
            </w:pPr>
            <w:r>
              <w:rPr>
                <w:vertAlign w:val="subscript"/>
              </w:rPr>
              <w:t>229.014,-</w:t>
            </w:r>
          </w:p>
        </w:tc>
      </w:tr>
      <w:tr w:rsidR="00D84380" w:rsidTr="00FE24D2">
        <w:tc>
          <w:tcPr>
            <w:tcW w:w="1559" w:type="dxa"/>
          </w:tcPr>
          <w:p w:rsidR="00D84380" w:rsidRDefault="00FE24D2" w:rsidP="00FE24D2">
            <w:pPr>
              <w:jc w:val="right"/>
              <w:rPr>
                <w:vertAlign w:val="subscript"/>
              </w:rPr>
            </w:pPr>
            <w:r>
              <w:rPr>
                <w:vertAlign w:val="subscript"/>
              </w:rPr>
              <w:t>13,759 t</w:t>
            </w:r>
          </w:p>
        </w:tc>
        <w:tc>
          <w:tcPr>
            <w:tcW w:w="2410" w:type="dxa"/>
          </w:tcPr>
          <w:p w:rsidR="00D84380" w:rsidRDefault="00FE24D2" w:rsidP="00502338">
            <w:pPr>
              <w:jc w:val="both"/>
              <w:rPr>
                <w:vertAlign w:val="subscript"/>
              </w:rPr>
            </w:pPr>
            <w:r>
              <w:rPr>
                <w:vertAlign w:val="subscript"/>
              </w:rPr>
              <w:t>papír</w:t>
            </w:r>
          </w:p>
        </w:tc>
        <w:tc>
          <w:tcPr>
            <w:tcW w:w="1701" w:type="dxa"/>
          </w:tcPr>
          <w:p w:rsidR="00D84380" w:rsidRDefault="00FE24D2" w:rsidP="00FE24D2">
            <w:pPr>
              <w:jc w:val="right"/>
              <w:rPr>
                <w:vertAlign w:val="subscript"/>
              </w:rPr>
            </w:pPr>
            <w:r>
              <w:rPr>
                <w:vertAlign w:val="subscript"/>
              </w:rPr>
              <w:t>82.110,-</w:t>
            </w:r>
          </w:p>
        </w:tc>
      </w:tr>
      <w:tr w:rsidR="00D84380" w:rsidTr="00FE24D2">
        <w:tc>
          <w:tcPr>
            <w:tcW w:w="1559" w:type="dxa"/>
          </w:tcPr>
          <w:p w:rsidR="00D84380" w:rsidRDefault="00FE24D2" w:rsidP="00FE24D2">
            <w:pPr>
              <w:jc w:val="right"/>
              <w:rPr>
                <w:vertAlign w:val="subscript"/>
              </w:rPr>
            </w:pPr>
            <w:r>
              <w:rPr>
                <w:vertAlign w:val="subscript"/>
              </w:rPr>
              <w:t>18,909 t</w:t>
            </w:r>
          </w:p>
        </w:tc>
        <w:tc>
          <w:tcPr>
            <w:tcW w:w="2410" w:type="dxa"/>
          </w:tcPr>
          <w:p w:rsidR="00D84380" w:rsidRDefault="00FE24D2" w:rsidP="00502338">
            <w:pPr>
              <w:jc w:val="both"/>
              <w:rPr>
                <w:vertAlign w:val="subscript"/>
              </w:rPr>
            </w:pPr>
            <w:r>
              <w:rPr>
                <w:vertAlign w:val="subscript"/>
              </w:rPr>
              <w:t>plasty</w:t>
            </w:r>
          </w:p>
        </w:tc>
        <w:tc>
          <w:tcPr>
            <w:tcW w:w="1701" w:type="dxa"/>
          </w:tcPr>
          <w:p w:rsidR="00D84380" w:rsidRDefault="00FE24D2" w:rsidP="00FE24D2">
            <w:pPr>
              <w:jc w:val="right"/>
              <w:rPr>
                <w:vertAlign w:val="subscript"/>
              </w:rPr>
            </w:pPr>
            <w:r>
              <w:rPr>
                <w:vertAlign w:val="subscript"/>
              </w:rPr>
              <w:t xml:space="preserve">139.170,- </w:t>
            </w:r>
          </w:p>
        </w:tc>
      </w:tr>
      <w:tr w:rsidR="00D84380" w:rsidTr="00FE24D2">
        <w:tc>
          <w:tcPr>
            <w:tcW w:w="1559" w:type="dxa"/>
          </w:tcPr>
          <w:p w:rsidR="00D84380" w:rsidRDefault="00FE24D2" w:rsidP="00FE24D2">
            <w:pPr>
              <w:jc w:val="right"/>
              <w:rPr>
                <w:vertAlign w:val="subscript"/>
              </w:rPr>
            </w:pPr>
            <w:r>
              <w:rPr>
                <w:vertAlign w:val="subscript"/>
              </w:rPr>
              <w:t>1,353 t</w:t>
            </w:r>
          </w:p>
        </w:tc>
        <w:tc>
          <w:tcPr>
            <w:tcW w:w="2410" w:type="dxa"/>
          </w:tcPr>
          <w:p w:rsidR="00D84380" w:rsidRDefault="00FE24D2" w:rsidP="00502338">
            <w:pPr>
              <w:jc w:val="both"/>
              <w:rPr>
                <w:vertAlign w:val="subscript"/>
              </w:rPr>
            </w:pPr>
            <w:r>
              <w:rPr>
                <w:vertAlign w:val="subscript"/>
              </w:rPr>
              <w:t>nebezpečný odpad</w:t>
            </w:r>
          </w:p>
        </w:tc>
        <w:tc>
          <w:tcPr>
            <w:tcW w:w="1701" w:type="dxa"/>
          </w:tcPr>
          <w:p w:rsidR="00D84380" w:rsidRDefault="00FE24D2" w:rsidP="00FE24D2">
            <w:pPr>
              <w:jc w:val="right"/>
              <w:rPr>
                <w:vertAlign w:val="subscript"/>
              </w:rPr>
            </w:pPr>
            <w:r>
              <w:rPr>
                <w:vertAlign w:val="subscript"/>
              </w:rPr>
              <w:t>17.126,-</w:t>
            </w:r>
          </w:p>
        </w:tc>
      </w:tr>
      <w:tr w:rsidR="00D84380" w:rsidTr="00FE24D2">
        <w:tc>
          <w:tcPr>
            <w:tcW w:w="1559" w:type="dxa"/>
          </w:tcPr>
          <w:p w:rsidR="00D84380" w:rsidRDefault="00FE24D2" w:rsidP="00FE24D2">
            <w:pPr>
              <w:jc w:val="right"/>
              <w:rPr>
                <w:vertAlign w:val="subscript"/>
              </w:rPr>
            </w:pPr>
            <w:r>
              <w:rPr>
                <w:vertAlign w:val="subscript"/>
              </w:rPr>
              <w:t>19,517 t</w:t>
            </w:r>
          </w:p>
        </w:tc>
        <w:tc>
          <w:tcPr>
            <w:tcW w:w="2410" w:type="dxa"/>
          </w:tcPr>
          <w:p w:rsidR="00D84380" w:rsidRDefault="00FE24D2" w:rsidP="00502338">
            <w:pPr>
              <w:jc w:val="both"/>
              <w:rPr>
                <w:vertAlign w:val="subscript"/>
              </w:rPr>
            </w:pPr>
            <w:r>
              <w:rPr>
                <w:vertAlign w:val="subscript"/>
              </w:rPr>
              <w:t>velkoobjemový odpad</w:t>
            </w:r>
          </w:p>
        </w:tc>
        <w:tc>
          <w:tcPr>
            <w:tcW w:w="1701" w:type="dxa"/>
          </w:tcPr>
          <w:p w:rsidR="00D84380" w:rsidRDefault="00FE24D2" w:rsidP="00FE24D2">
            <w:pPr>
              <w:jc w:val="right"/>
              <w:rPr>
                <w:vertAlign w:val="subscript"/>
              </w:rPr>
            </w:pPr>
            <w:r>
              <w:rPr>
                <w:vertAlign w:val="subscript"/>
              </w:rPr>
              <w:t>16.024,-</w:t>
            </w:r>
          </w:p>
        </w:tc>
      </w:tr>
      <w:tr w:rsidR="00D84380" w:rsidTr="00FE24D2">
        <w:tc>
          <w:tcPr>
            <w:tcW w:w="1559" w:type="dxa"/>
          </w:tcPr>
          <w:p w:rsidR="00D84380" w:rsidRDefault="00FE24D2" w:rsidP="00FE24D2">
            <w:pPr>
              <w:jc w:val="right"/>
              <w:rPr>
                <w:vertAlign w:val="subscript"/>
              </w:rPr>
            </w:pPr>
            <w:r>
              <w:rPr>
                <w:vertAlign w:val="subscript"/>
              </w:rPr>
              <w:t>18,03 t</w:t>
            </w:r>
          </w:p>
        </w:tc>
        <w:tc>
          <w:tcPr>
            <w:tcW w:w="2410" w:type="dxa"/>
          </w:tcPr>
          <w:p w:rsidR="00D84380" w:rsidRDefault="00FE24D2" w:rsidP="00502338">
            <w:pPr>
              <w:jc w:val="both"/>
              <w:rPr>
                <w:vertAlign w:val="subscript"/>
              </w:rPr>
            </w:pPr>
            <w:r>
              <w:rPr>
                <w:vertAlign w:val="subscript"/>
              </w:rPr>
              <w:t>sklo (bílé, barevné)</w:t>
            </w:r>
          </w:p>
        </w:tc>
        <w:tc>
          <w:tcPr>
            <w:tcW w:w="1701" w:type="dxa"/>
          </w:tcPr>
          <w:p w:rsidR="00D84380" w:rsidRDefault="00FE24D2" w:rsidP="00FE24D2">
            <w:pPr>
              <w:jc w:val="right"/>
              <w:rPr>
                <w:vertAlign w:val="subscript"/>
              </w:rPr>
            </w:pPr>
            <w:r>
              <w:rPr>
                <w:vertAlign w:val="subscript"/>
              </w:rPr>
              <w:t>25.784,-</w:t>
            </w:r>
          </w:p>
        </w:tc>
      </w:tr>
      <w:tr w:rsidR="00FE24D2" w:rsidTr="00FE24D2">
        <w:tc>
          <w:tcPr>
            <w:tcW w:w="1559" w:type="dxa"/>
          </w:tcPr>
          <w:p w:rsidR="00FE24D2" w:rsidRDefault="00FE24D2" w:rsidP="00FE24D2">
            <w:pPr>
              <w:jc w:val="right"/>
              <w:rPr>
                <w:vertAlign w:val="subscript"/>
              </w:rPr>
            </w:pPr>
            <w:r>
              <w:rPr>
                <w:vertAlign w:val="subscript"/>
              </w:rPr>
              <w:t>24,26 t</w:t>
            </w:r>
          </w:p>
        </w:tc>
        <w:tc>
          <w:tcPr>
            <w:tcW w:w="2410" w:type="dxa"/>
          </w:tcPr>
          <w:p w:rsidR="00FE24D2" w:rsidRDefault="00FE24D2" w:rsidP="00502338">
            <w:pPr>
              <w:jc w:val="both"/>
              <w:rPr>
                <w:vertAlign w:val="subscript"/>
              </w:rPr>
            </w:pPr>
            <w:r>
              <w:rPr>
                <w:vertAlign w:val="subscript"/>
              </w:rPr>
              <w:t>bioodpad</w:t>
            </w:r>
          </w:p>
        </w:tc>
        <w:tc>
          <w:tcPr>
            <w:tcW w:w="1701" w:type="dxa"/>
          </w:tcPr>
          <w:p w:rsidR="00FE24D2" w:rsidRDefault="00FE24D2" w:rsidP="00FE24D2">
            <w:pPr>
              <w:jc w:val="right"/>
              <w:rPr>
                <w:vertAlign w:val="subscript"/>
              </w:rPr>
            </w:pPr>
            <w:r>
              <w:rPr>
                <w:vertAlign w:val="subscript"/>
              </w:rPr>
              <w:t>66.559,-</w:t>
            </w:r>
          </w:p>
        </w:tc>
      </w:tr>
      <w:tr w:rsidR="00FE24D2" w:rsidTr="00FE24D2">
        <w:tc>
          <w:tcPr>
            <w:tcW w:w="1559" w:type="dxa"/>
          </w:tcPr>
          <w:p w:rsidR="00FE24D2" w:rsidRDefault="00FE24D2" w:rsidP="00FE24D2">
            <w:pPr>
              <w:jc w:val="right"/>
              <w:rPr>
                <w:vertAlign w:val="subscript"/>
              </w:rPr>
            </w:pPr>
            <w:r>
              <w:rPr>
                <w:vertAlign w:val="subscript"/>
              </w:rPr>
              <w:t>154 l</w:t>
            </w:r>
          </w:p>
        </w:tc>
        <w:tc>
          <w:tcPr>
            <w:tcW w:w="2410" w:type="dxa"/>
          </w:tcPr>
          <w:p w:rsidR="00FE24D2" w:rsidRDefault="00FE24D2" w:rsidP="00502338">
            <w:pPr>
              <w:jc w:val="both"/>
              <w:rPr>
                <w:vertAlign w:val="subscript"/>
              </w:rPr>
            </w:pPr>
            <w:r>
              <w:rPr>
                <w:vertAlign w:val="subscript"/>
              </w:rPr>
              <w:t>použitý rostlinný olej</w:t>
            </w:r>
          </w:p>
        </w:tc>
        <w:tc>
          <w:tcPr>
            <w:tcW w:w="1701" w:type="dxa"/>
          </w:tcPr>
          <w:p w:rsidR="00FE24D2" w:rsidRDefault="00FE24D2" w:rsidP="00FE24D2">
            <w:pPr>
              <w:jc w:val="right"/>
              <w:rPr>
                <w:vertAlign w:val="subscript"/>
              </w:rPr>
            </w:pPr>
            <w:r>
              <w:rPr>
                <w:vertAlign w:val="subscript"/>
              </w:rPr>
              <w:t>-</w:t>
            </w:r>
          </w:p>
        </w:tc>
      </w:tr>
      <w:tr w:rsidR="00FE24D2" w:rsidTr="00FE24D2">
        <w:tc>
          <w:tcPr>
            <w:tcW w:w="1559" w:type="dxa"/>
          </w:tcPr>
          <w:p w:rsidR="00FE24D2" w:rsidRDefault="00FE24D2" w:rsidP="00FE24D2">
            <w:pPr>
              <w:jc w:val="right"/>
              <w:rPr>
                <w:vertAlign w:val="subscript"/>
              </w:rPr>
            </w:pPr>
            <w:r>
              <w:rPr>
                <w:vertAlign w:val="subscript"/>
              </w:rPr>
              <w:t>5,337 t</w:t>
            </w:r>
          </w:p>
        </w:tc>
        <w:tc>
          <w:tcPr>
            <w:tcW w:w="2410" w:type="dxa"/>
          </w:tcPr>
          <w:p w:rsidR="00FE24D2" w:rsidRDefault="00FE24D2" w:rsidP="00502338">
            <w:pPr>
              <w:jc w:val="both"/>
              <w:rPr>
                <w:vertAlign w:val="subscript"/>
              </w:rPr>
            </w:pPr>
            <w:r>
              <w:rPr>
                <w:vertAlign w:val="subscript"/>
              </w:rPr>
              <w:t>použitý textil</w:t>
            </w:r>
          </w:p>
        </w:tc>
        <w:tc>
          <w:tcPr>
            <w:tcW w:w="1701" w:type="dxa"/>
          </w:tcPr>
          <w:p w:rsidR="00FE24D2" w:rsidRDefault="00FE24D2" w:rsidP="00FE24D2">
            <w:pPr>
              <w:jc w:val="right"/>
              <w:rPr>
                <w:vertAlign w:val="subscript"/>
              </w:rPr>
            </w:pPr>
            <w:r>
              <w:rPr>
                <w:vertAlign w:val="subscript"/>
              </w:rPr>
              <w:t>-</w:t>
            </w:r>
          </w:p>
        </w:tc>
      </w:tr>
    </w:tbl>
    <w:p w:rsidR="00D84380" w:rsidRDefault="00D84380" w:rsidP="00502338">
      <w:pPr>
        <w:jc w:val="both"/>
        <w:rPr>
          <w:vertAlign w:val="subscript"/>
        </w:rPr>
      </w:pPr>
    </w:p>
    <w:p w:rsidR="00FE24D2" w:rsidRDefault="00FE24D2" w:rsidP="00502338">
      <w:pPr>
        <w:jc w:val="both"/>
      </w:pPr>
      <w:r w:rsidRPr="00FE24D2">
        <w:t xml:space="preserve">Přímé náklady na sběr, svoz a likvidaci, výše uvedených odpadů činí 966.896,- Kč. S odpadovým hospodářstvím jsou spojeny další náklady na pronájem nádob, jejich </w:t>
      </w:r>
      <w:r w:rsidR="00B45F74">
        <w:t>obnovu a údržbu. Celkové náklady dle účetní evidence za rok 2021 činily</w:t>
      </w:r>
      <w:r w:rsidR="009C664A">
        <w:t xml:space="preserve"> 1.124.261,- Kč. Proti tomuto číslu je možné dát částku vybranou za poplatky, a to ve výši 495.945,-Kč. </w:t>
      </w:r>
      <w:r w:rsidR="005E10D4">
        <w:t>Z porovnání je patrné, že vybrané poplatky netvoří ani 50% nákladů. Na základě finančního rozboru vývoje nákladů na hospodaření s odpady ve druhém pololetí 2021 došlo zastupitelstvo k závěru navýšení poplatku na částku 720,-Kč na trvale bydlícího občana nebo rekreační objekt v roce 2022.</w:t>
      </w:r>
    </w:p>
    <w:p w:rsidR="005E10D4" w:rsidRDefault="005E10D4" w:rsidP="00502338">
      <w:pPr>
        <w:jc w:val="both"/>
      </w:pPr>
      <w:r>
        <w:t>Vážení čtenáři, věřím, že poměrně rozsáhlý článek o odpadech jste dočetli až do závěrečné části. Chtěl bych tedy vám, kteří odpad berete vážně, věnujete se třídění a tak obci pomáháte v hospodaření s odpady, upřímně poděkovat. Ukazatel třídění odpadu, který pro rok 2021 zákon o</w:t>
      </w:r>
      <w:r w:rsidR="007D6715">
        <w:t> </w:t>
      </w:r>
      <w:r>
        <w:t>odpadech stanovil na 200 kg komunálního odpadu na občana</w:t>
      </w:r>
      <w:r w:rsidR="007D6715">
        <w:t>,</w:t>
      </w:r>
      <w:bookmarkStart w:id="0" w:name="_GoBack"/>
      <w:bookmarkEnd w:id="0"/>
      <w:r>
        <w:t xml:space="preserve"> a my jsme skončili rok s průměrem 212,9 kg. Proto jsou i větší náklady, neboť minimálně za prosinec jsme už ukazatel 200 kg překročili a </w:t>
      </w:r>
      <w:r>
        <w:lastRenderedPageBreak/>
        <w:t xml:space="preserve">tak za uloženou tunu na skládku zaplatili namísto 500,- Kč/t skládkovného už 800,-Kč/t. </w:t>
      </w:r>
      <w:r w:rsidRPr="007D6715">
        <w:rPr>
          <w:b/>
        </w:rPr>
        <w:t>Pro rok 2022 je ukazatel množství na občana stanoven na 190 kg</w:t>
      </w:r>
      <w:r w:rsidR="007D6715">
        <w:rPr>
          <w:b/>
        </w:rPr>
        <w:t xml:space="preserve"> KO na občana!</w:t>
      </w:r>
      <w:r>
        <w:t xml:space="preserve"> Bohužel se nepodařilo uplatnit připomínku k zákonu, že do průměru není započítána produkce z rekreačních objektů, kterých je v Klášterci 235. Průměr produkce tak není stanoven na poplatníka, ale dle našeho názoru chybně pouze na tzv. bydlícího občana. Tímto jsou rekreační oblasti znevýhodněny. Tento článek bude zveřejněn dle §60 zákona č. 541/2020 Sb., o odpadech, také na webových stránkách obce a splní tak podmínku dálkového přístupu. </w:t>
      </w:r>
    </w:p>
    <w:p w:rsidR="005E10D4" w:rsidRPr="00FE24D2" w:rsidRDefault="005E10D4" w:rsidP="00502338">
      <w:pPr>
        <w:jc w:val="both"/>
      </w:pPr>
      <w:r>
        <w:t>Zpracoval: Z. Bureš</w:t>
      </w:r>
    </w:p>
    <w:sectPr w:rsidR="005E10D4" w:rsidRPr="00FE2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B3"/>
    <w:rsid w:val="000D66F9"/>
    <w:rsid w:val="001969D6"/>
    <w:rsid w:val="002F0620"/>
    <w:rsid w:val="003F2A2F"/>
    <w:rsid w:val="00502338"/>
    <w:rsid w:val="005E10D4"/>
    <w:rsid w:val="007D6715"/>
    <w:rsid w:val="009C664A"/>
    <w:rsid w:val="00B45F74"/>
    <w:rsid w:val="00C275EF"/>
    <w:rsid w:val="00D84380"/>
    <w:rsid w:val="00EF34B3"/>
    <w:rsid w:val="00F72779"/>
    <w:rsid w:val="00FE24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8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8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1057</Words>
  <Characters>6243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Cviková</dc:creator>
  <cp:lastModifiedBy>Jana Cviková</cp:lastModifiedBy>
  <cp:revision>6</cp:revision>
  <dcterms:created xsi:type="dcterms:W3CDTF">2022-02-15T09:46:00Z</dcterms:created>
  <dcterms:modified xsi:type="dcterms:W3CDTF">2022-02-15T12:58:00Z</dcterms:modified>
</cp:coreProperties>
</file>