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AA" w:rsidRDefault="00937EAA" w:rsidP="00793763">
      <w:pPr>
        <w:pStyle w:val="Zkladntext"/>
        <w:jc w:val="center"/>
        <w:rPr>
          <w:rFonts w:ascii="Arial" w:hAnsi="Arial"/>
          <w:b/>
          <w:color w:val="000000"/>
          <w:spacing w:val="120"/>
          <w:sz w:val="28"/>
        </w:rPr>
      </w:pPr>
      <w:r w:rsidRPr="00256AE1">
        <w:rPr>
          <w:noProof/>
          <w:spacing w:val="120"/>
        </w:rPr>
        <w:drawing>
          <wp:anchor distT="0" distB="0" distL="114300" distR="114300" simplePos="0" relativeHeight="251656192" behindDoc="0" locked="0" layoutInCell="1" allowOverlap="1" wp14:anchorId="38E75C73" wp14:editId="1ED26CA4">
            <wp:simplePos x="0" y="0"/>
            <wp:positionH relativeFrom="column">
              <wp:posOffset>2500630</wp:posOffset>
            </wp:positionH>
            <wp:positionV relativeFrom="paragraph">
              <wp:posOffset>-409575</wp:posOffset>
            </wp:positionV>
            <wp:extent cx="514350" cy="516890"/>
            <wp:effectExtent l="0" t="0" r="0" b="0"/>
            <wp:wrapSquare wrapText="bothSides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763" w:rsidRPr="00256AE1" w:rsidRDefault="00793763" w:rsidP="00793763">
      <w:pPr>
        <w:pStyle w:val="Zkladntext"/>
        <w:jc w:val="center"/>
        <w:rPr>
          <w:rFonts w:ascii="Arial" w:hAnsi="Arial"/>
          <w:b/>
          <w:color w:val="000000"/>
          <w:spacing w:val="120"/>
          <w:sz w:val="28"/>
        </w:rPr>
      </w:pPr>
      <w:r w:rsidRPr="00256AE1">
        <w:rPr>
          <w:rFonts w:ascii="Arial" w:hAnsi="Arial"/>
          <w:b/>
          <w:color w:val="000000"/>
          <w:spacing w:val="120"/>
          <w:sz w:val="28"/>
        </w:rPr>
        <w:t>Obec Klášterec nad Orlicí</w:t>
      </w:r>
    </w:p>
    <w:p w:rsidR="00256AE1" w:rsidRDefault="00C05DB6" w:rsidP="00793763">
      <w:pPr>
        <w:pStyle w:val="Zkladntext"/>
        <w:spacing w:line="312" w:lineRule="auto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573405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pt;margin-top:.15pt;width:4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9s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"/>
            </w:pict>
          </mc:Fallback>
        </mc:AlternateContent>
      </w:r>
    </w:p>
    <w:p w:rsidR="00793763" w:rsidRDefault="00793763" w:rsidP="00793763">
      <w:pPr>
        <w:pStyle w:val="Zkladntext"/>
        <w:spacing w:line="312" w:lineRule="auto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Obecně závazná vyhláška č. </w:t>
      </w:r>
      <w:r w:rsidR="00937EAA">
        <w:rPr>
          <w:rFonts w:ascii="Arial" w:hAnsi="Arial"/>
          <w:b/>
          <w:color w:val="000000"/>
          <w:sz w:val="22"/>
        </w:rPr>
        <w:t>1</w:t>
      </w:r>
      <w:r>
        <w:rPr>
          <w:rFonts w:ascii="Arial" w:hAnsi="Arial"/>
          <w:b/>
          <w:color w:val="000000"/>
          <w:sz w:val="22"/>
        </w:rPr>
        <w:t>/2015,</w:t>
      </w:r>
    </w:p>
    <w:p w:rsidR="00793763" w:rsidRDefault="00793763" w:rsidP="00793763">
      <w:pPr>
        <w:pStyle w:val="Zkladntext"/>
        <w:spacing w:line="312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stanovení koeficientu pro výpočet daně z nemovitých věcí</w:t>
      </w:r>
    </w:p>
    <w:p w:rsidR="00205A1B" w:rsidRDefault="00205A1B" w:rsidP="00793763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9739E" w:rsidRDefault="00793763" w:rsidP="00793763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Zastupitelstvo obce Klášterec nad Orlicí</w:t>
      </w:r>
      <w:r w:rsidRPr="00205A1B">
        <w:rPr>
          <w:rFonts w:ascii="Arial" w:hAnsi="Arial" w:cs="Arial"/>
          <w:color w:val="FF0000"/>
          <w:sz w:val="22"/>
          <w:szCs w:val="22"/>
        </w:rPr>
        <w:t xml:space="preserve"> </w:t>
      </w:r>
      <w:r w:rsidRPr="00205A1B">
        <w:rPr>
          <w:rFonts w:ascii="Arial" w:hAnsi="Arial" w:cs="Arial"/>
          <w:sz w:val="22"/>
          <w:szCs w:val="22"/>
        </w:rPr>
        <w:t xml:space="preserve">se na svém zasedání dne </w:t>
      </w:r>
      <w:r w:rsidR="00937EAA">
        <w:rPr>
          <w:rFonts w:ascii="Arial" w:hAnsi="Arial" w:cs="Arial"/>
          <w:sz w:val="22"/>
          <w:szCs w:val="22"/>
        </w:rPr>
        <w:t>26. 8. 2015</w:t>
      </w:r>
      <w:r w:rsidRPr="00205A1B">
        <w:rPr>
          <w:rFonts w:ascii="Arial" w:hAnsi="Arial" w:cs="Arial"/>
          <w:sz w:val="22"/>
          <w:szCs w:val="22"/>
        </w:rPr>
        <w:t xml:space="preserve"> usnesením č</w:t>
      </w:r>
      <w:r w:rsidRPr="00205A1B">
        <w:rPr>
          <w:rFonts w:ascii="Arial" w:hAnsi="Arial" w:cs="Arial"/>
          <w:color w:val="FF0000"/>
          <w:sz w:val="22"/>
          <w:szCs w:val="22"/>
        </w:rPr>
        <w:t>. </w:t>
      </w:r>
      <w:r w:rsidR="00FB34E5" w:rsidRPr="00FB34E5">
        <w:rPr>
          <w:rFonts w:ascii="Arial" w:hAnsi="Arial" w:cs="Arial"/>
          <w:sz w:val="22"/>
          <w:szCs w:val="22"/>
        </w:rPr>
        <w:t>193/15</w:t>
      </w:r>
      <w:r w:rsidRPr="00FB34E5">
        <w:rPr>
          <w:rFonts w:ascii="Arial" w:hAnsi="Arial" w:cs="Arial"/>
          <w:sz w:val="22"/>
          <w:szCs w:val="22"/>
        </w:rPr>
        <w:t xml:space="preserve"> </w:t>
      </w:r>
      <w:r w:rsidRPr="00205A1B">
        <w:rPr>
          <w:rFonts w:ascii="Arial" w:hAnsi="Arial" w:cs="Arial"/>
          <w:sz w:val="22"/>
          <w:szCs w:val="22"/>
        </w:rPr>
        <w:t>usneslo vydat na základě § 11 odst. 3 písm. b) zákona č. 338/1992 Sb., o dani z nemovitých věcí, ve znění pozdějších předpisů (dále jen „zákon o dani z nemovitých věcí“)</w:t>
      </w:r>
      <w:r w:rsidR="00205A1B">
        <w:rPr>
          <w:rFonts w:ascii="Arial" w:hAnsi="Arial" w:cs="Arial"/>
          <w:sz w:val="22"/>
          <w:szCs w:val="22"/>
        </w:rPr>
        <w:t>,</w:t>
      </w:r>
      <w:r w:rsidRPr="00205A1B">
        <w:rPr>
          <w:rFonts w:ascii="Arial" w:hAnsi="Arial" w:cs="Arial"/>
          <w:sz w:val="22"/>
          <w:szCs w:val="22"/>
        </w:rPr>
        <w:t xml:space="preserve"> a § 84 odst. 2 písm. h) zákona č. 128/2000 Sb., o obcích (obecní zřízení), </w:t>
      </w:r>
      <w:r w:rsidRPr="00205A1B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Pr="00205A1B">
        <w:rPr>
          <w:rFonts w:ascii="Arial" w:hAnsi="Arial" w:cs="Arial"/>
          <w:sz w:val="22"/>
          <w:szCs w:val="22"/>
        </w:rPr>
        <w:t xml:space="preserve"> tuto obecně závaznou vyhlášku: </w:t>
      </w:r>
    </w:p>
    <w:p w:rsidR="00793763" w:rsidRPr="00205A1B" w:rsidRDefault="00793763" w:rsidP="004973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5A1B">
        <w:rPr>
          <w:rFonts w:ascii="Arial" w:hAnsi="Arial" w:cs="Arial"/>
          <w:b/>
          <w:color w:val="000000"/>
          <w:sz w:val="22"/>
          <w:szCs w:val="22"/>
        </w:rPr>
        <w:t>Čl. 1</w:t>
      </w:r>
    </w:p>
    <w:p w:rsidR="00793763" w:rsidRPr="00205A1B" w:rsidRDefault="00793763" w:rsidP="004973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5A1B">
        <w:rPr>
          <w:rFonts w:ascii="Arial" w:hAnsi="Arial" w:cs="Arial"/>
          <w:b/>
          <w:color w:val="000000"/>
          <w:sz w:val="22"/>
          <w:szCs w:val="22"/>
        </w:rPr>
        <w:t xml:space="preserve">Zdanitelné stavby </w:t>
      </w:r>
    </w:p>
    <w:p w:rsidR="0049739E" w:rsidRDefault="0049739E" w:rsidP="0049739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793763" w:rsidRPr="00205A1B" w:rsidRDefault="00793763" w:rsidP="0049739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 xml:space="preserve">U zdanitelných staveb uvedených v § 11 odst. 1 písm. b) zákona o dani z nemovitých věcí se stanovuje </w:t>
      </w:r>
      <w:r w:rsidRPr="00AF237B">
        <w:rPr>
          <w:rFonts w:ascii="Arial" w:hAnsi="Arial" w:cs="Arial"/>
          <w:b/>
          <w:sz w:val="22"/>
          <w:szCs w:val="22"/>
        </w:rPr>
        <w:t>koeficient</w:t>
      </w:r>
      <w:r w:rsidRPr="00205A1B">
        <w:rPr>
          <w:rFonts w:ascii="Arial" w:hAnsi="Arial" w:cs="Arial"/>
          <w:sz w:val="22"/>
          <w:szCs w:val="22"/>
        </w:rPr>
        <w:t xml:space="preserve">, kterým se násobí základní sazba daně, případně sazba daně zvýšená podle § 11 odst. 2 zákona o dani z nemovitých věcí, </w:t>
      </w:r>
      <w:r w:rsidRPr="00AF237B">
        <w:rPr>
          <w:rFonts w:ascii="Arial" w:hAnsi="Arial" w:cs="Arial"/>
          <w:b/>
          <w:sz w:val="22"/>
          <w:szCs w:val="22"/>
        </w:rPr>
        <w:t>ve výši 1,5</w:t>
      </w:r>
      <w:r w:rsidRPr="00205A1B">
        <w:rPr>
          <w:rFonts w:ascii="Arial" w:hAnsi="Arial" w:cs="Arial"/>
          <w:sz w:val="22"/>
          <w:szCs w:val="22"/>
        </w:rPr>
        <w:t>.</w:t>
      </w:r>
    </w:p>
    <w:p w:rsidR="00793763" w:rsidRPr="00205A1B" w:rsidRDefault="00793763" w:rsidP="0079376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 </w:t>
      </w:r>
    </w:p>
    <w:p w:rsidR="00793763" w:rsidRPr="00205A1B" w:rsidRDefault="0049739E" w:rsidP="0049739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93763" w:rsidRPr="00205A1B">
        <w:rPr>
          <w:rFonts w:ascii="Arial" w:hAnsi="Arial" w:cs="Arial"/>
          <w:b/>
          <w:sz w:val="22"/>
          <w:szCs w:val="22"/>
        </w:rPr>
        <w:t>l. 2</w:t>
      </w:r>
    </w:p>
    <w:p w:rsidR="00793763" w:rsidRPr="00205A1B" w:rsidRDefault="00793763" w:rsidP="0049739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05A1B">
        <w:rPr>
          <w:rFonts w:ascii="Arial" w:hAnsi="Arial" w:cs="Arial"/>
          <w:b/>
          <w:sz w:val="22"/>
          <w:szCs w:val="22"/>
        </w:rPr>
        <w:t>Zrušovací ustanovení</w:t>
      </w:r>
    </w:p>
    <w:p w:rsidR="0049739E" w:rsidRDefault="0049739E" w:rsidP="0049739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793763" w:rsidRPr="00205A1B" w:rsidRDefault="00793763" w:rsidP="00AF237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Zrušuje se obecně závazná vyhláška obce Klášterec nad Orlicí č.</w:t>
      </w:r>
      <w:r w:rsidR="00DE2A6B" w:rsidRPr="00205A1B">
        <w:rPr>
          <w:rFonts w:ascii="Arial" w:hAnsi="Arial" w:cs="Arial"/>
          <w:sz w:val="22"/>
          <w:szCs w:val="22"/>
        </w:rPr>
        <w:t xml:space="preserve"> </w:t>
      </w:r>
      <w:r w:rsidRPr="00205A1B">
        <w:rPr>
          <w:rFonts w:ascii="Arial" w:hAnsi="Arial" w:cs="Arial"/>
          <w:sz w:val="22"/>
          <w:szCs w:val="22"/>
        </w:rPr>
        <w:t>3/1995, o stanovení koeficientů k dani z</w:t>
      </w:r>
      <w:r w:rsidR="00DE2A6B" w:rsidRPr="00205A1B">
        <w:rPr>
          <w:rFonts w:ascii="Arial" w:hAnsi="Arial" w:cs="Arial"/>
          <w:sz w:val="22"/>
          <w:szCs w:val="22"/>
        </w:rPr>
        <w:t> </w:t>
      </w:r>
      <w:r w:rsidRPr="00FB34E5">
        <w:rPr>
          <w:rFonts w:ascii="Arial" w:hAnsi="Arial" w:cs="Arial"/>
          <w:sz w:val="22"/>
          <w:szCs w:val="22"/>
        </w:rPr>
        <w:t>nemovitostí</w:t>
      </w:r>
      <w:r w:rsidR="00DE2A6B" w:rsidRPr="00FB34E5">
        <w:rPr>
          <w:rFonts w:ascii="Arial" w:hAnsi="Arial" w:cs="Arial"/>
          <w:sz w:val="22"/>
          <w:szCs w:val="22"/>
        </w:rPr>
        <w:t xml:space="preserve">, ze </w:t>
      </w:r>
      <w:proofErr w:type="gramStart"/>
      <w:r w:rsidR="00DE2A6B" w:rsidRPr="00FB34E5">
        <w:rPr>
          <w:rFonts w:ascii="Arial" w:hAnsi="Arial" w:cs="Arial"/>
          <w:sz w:val="22"/>
          <w:szCs w:val="22"/>
        </w:rPr>
        <w:t xml:space="preserve">dne  </w:t>
      </w:r>
      <w:r w:rsidR="00FB34E5">
        <w:rPr>
          <w:rFonts w:ascii="Arial" w:hAnsi="Arial" w:cs="Arial"/>
          <w:sz w:val="22"/>
          <w:szCs w:val="22"/>
        </w:rPr>
        <w:t>15</w:t>
      </w:r>
      <w:proofErr w:type="gramEnd"/>
      <w:r w:rsidR="00FB34E5">
        <w:rPr>
          <w:rFonts w:ascii="Arial" w:hAnsi="Arial" w:cs="Arial"/>
          <w:sz w:val="22"/>
          <w:szCs w:val="22"/>
        </w:rPr>
        <w:t>. 7. 1995</w:t>
      </w:r>
      <w:r w:rsidRPr="00FB34E5">
        <w:rPr>
          <w:rFonts w:ascii="Arial" w:hAnsi="Arial" w:cs="Arial"/>
          <w:sz w:val="22"/>
          <w:szCs w:val="22"/>
        </w:rPr>
        <w:t>.</w:t>
      </w:r>
    </w:p>
    <w:p w:rsidR="00793763" w:rsidRPr="00205A1B" w:rsidRDefault="00793763" w:rsidP="00793763">
      <w:pPr>
        <w:pStyle w:val="Zkladntext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  </w:t>
      </w:r>
    </w:p>
    <w:p w:rsidR="0049739E" w:rsidRPr="00205A1B" w:rsidRDefault="0049739E" w:rsidP="004973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793763" w:rsidRPr="00205A1B" w:rsidRDefault="00793763" w:rsidP="004973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5A1B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:rsidR="0049739E" w:rsidRDefault="0049739E" w:rsidP="0049739E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793763" w:rsidRPr="00205A1B" w:rsidRDefault="00793763" w:rsidP="0049739E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 w:rsidRPr="00205A1B">
        <w:rPr>
          <w:rFonts w:ascii="Arial" w:hAnsi="Arial" w:cs="Arial"/>
          <w:color w:val="000000"/>
          <w:sz w:val="22"/>
          <w:szCs w:val="22"/>
        </w:rPr>
        <w:t>Tato obecně závazná vyhláška nabývá účinnosti dnem 1. 1. 2016.</w:t>
      </w:r>
    </w:p>
    <w:p w:rsidR="00793763" w:rsidRDefault="00793763" w:rsidP="00793763">
      <w:pPr>
        <w:pStyle w:val="Zkladntext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937EAA" w:rsidRDefault="00937EAA" w:rsidP="00793763">
      <w:pPr>
        <w:pStyle w:val="Zkladntext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256AE1" w:rsidRPr="00205A1B" w:rsidRDefault="00C05DB6" w:rsidP="00793763">
      <w:pPr>
        <w:pStyle w:val="Zkladntext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196215</wp:posOffset>
                </wp:positionV>
                <wp:extent cx="1790700" cy="0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98.9pt;margin-top:15.4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DhMw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196215</wp:posOffset>
                </wp:positionV>
                <wp:extent cx="1600200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.4pt;margin-top:15.45pt;width:12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NFMw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"/>
            </w:pict>
          </mc:Fallback>
        </mc:AlternateContent>
      </w:r>
    </w:p>
    <w:p w:rsidR="00793763" w:rsidRPr="00205A1B" w:rsidRDefault="00256AE1" w:rsidP="00256AE1">
      <w:pPr>
        <w:pStyle w:val="Zkladntext"/>
        <w:tabs>
          <w:tab w:val="center" w:pos="1701"/>
          <w:tab w:val="center" w:pos="737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05A1B" w:rsidRPr="00205A1B">
        <w:rPr>
          <w:rFonts w:ascii="Arial" w:hAnsi="Arial" w:cs="Arial"/>
          <w:color w:val="000000"/>
          <w:sz w:val="22"/>
          <w:szCs w:val="22"/>
        </w:rPr>
        <w:t xml:space="preserve">Ing. Jindřich Kalous </w:t>
      </w:r>
      <w:r>
        <w:rPr>
          <w:rFonts w:ascii="Arial" w:hAnsi="Arial" w:cs="Arial"/>
          <w:color w:val="000000"/>
          <w:sz w:val="22"/>
          <w:szCs w:val="22"/>
        </w:rPr>
        <w:tab/>
        <w:t>B</w:t>
      </w:r>
      <w:r w:rsidR="00205A1B" w:rsidRPr="00205A1B">
        <w:rPr>
          <w:rFonts w:ascii="Arial" w:hAnsi="Arial" w:cs="Arial"/>
          <w:color w:val="000000"/>
          <w:sz w:val="22"/>
          <w:szCs w:val="22"/>
        </w:rPr>
        <w:t xml:space="preserve">c. Lenka Ševčíková </w:t>
      </w:r>
    </w:p>
    <w:p w:rsidR="00793763" w:rsidRPr="00205A1B" w:rsidRDefault="00256AE1" w:rsidP="00256AE1">
      <w:pPr>
        <w:pStyle w:val="Zkladntext"/>
        <w:tabs>
          <w:tab w:val="center" w:pos="1701"/>
          <w:tab w:val="center" w:pos="737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93763" w:rsidRPr="00205A1B">
        <w:rPr>
          <w:rFonts w:ascii="Arial" w:hAnsi="Arial" w:cs="Arial"/>
          <w:color w:val="000000"/>
          <w:sz w:val="22"/>
          <w:szCs w:val="22"/>
        </w:rPr>
        <w:t xml:space="preserve">místostarosta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93763" w:rsidRPr="00205A1B">
        <w:rPr>
          <w:rFonts w:ascii="Arial" w:hAnsi="Arial" w:cs="Arial"/>
          <w:color w:val="000000"/>
          <w:sz w:val="22"/>
          <w:szCs w:val="22"/>
        </w:rPr>
        <w:t>starost</w:t>
      </w:r>
      <w:r w:rsidR="00205A1B" w:rsidRPr="00205A1B">
        <w:rPr>
          <w:rFonts w:ascii="Arial" w:hAnsi="Arial" w:cs="Arial"/>
          <w:color w:val="000000"/>
          <w:sz w:val="22"/>
          <w:szCs w:val="22"/>
        </w:rPr>
        <w:t>k</w:t>
      </w:r>
      <w:r w:rsidR="00793763" w:rsidRPr="00205A1B">
        <w:rPr>
          <w:rFonts w:ascii="Arial" w:hAnsi="Arial" w:cs="Arial"/>
          <w:color w:val="000000"/>
          <w:sz w:val="22"/>
          <w:szCs w:val="22"/>
        </w:rPr>
        <w:t>a</w:t>
      </w:r>
    </w:p>
    <w:p w:rsidR="00793763" w:rsidRPr="00205A1B" w:rsidRDefault="00793763" w:rsidP="00205A1B">
      <w:pPr>
        <w:pStyle w:val="Zkladntext"/>
        <w:jc w:val="both"/>
        <w:rPr>
          <w:rFonts w:ascii="Arial" w:hAnsi="Arial" w:cs="Arial"/>
          <w:color w:val="000000"/>
          <w:sz w:val="22"/>
          <w:szCs w:val="22"/>
        </w:rPr>
      </w:pPr>
      <w:r w:rsidRPr="00205A1B">
        <w:rPr>
          <w:rFonts w:ascii="Arial" w:hAnsi="Arial" w:cs="Arial"/>
          <w:color w:val="000000"/>
          <w:sz w:val="22"/>
          <w:szCs w:val="22"/>
        </w:rPr>
        <w:t> </w:t>
      </w:r>
    </w:p>
    <w:p w:rsidR="00793763" w:rsidRPr="00205A1B" w:rsidRDefault="00793763" w:rsidP="00205A1B">
      <w:pPr>
        <w:pStyle w:val="Zkladntext"/>
        <w:jc w:val="both"/>
        <w:rPr>
          <w:rFonts w:ascii="Arial" w:hAnsi="Arial" w:cs="Arial"/>
          <w:color w:val="000000"/>
          <w:sz w:val="22"/>
          <w:szCs w:val="22"/>
        </w:rPr>
      </w:pPr>
      <w:r w:rsidRPr="00205A1B">
        <w:rPr>
          <w:rFonts w:ascii="Arial" w:hAnsi="Arial" w:cs="Arial"/>
          <w:color w:val="000000"/>
          <w:sz w:val="22"/>
          <w:szCs w:val="22"/>
        </w:rPr>
        <w:t> </w:t>
      </w:r>
    </w:p>
    <w:p w:rsidR="00793763" w:rsidRPr="00205A1B" w:rsidRDefault="00793763" w:rsidP="00793763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Vyvěšeno na úřední desce dne:</w:t>
      </w:r>
      <w:r w:rsidR="00C42173">
        <w:rPr>
          <w:rFonts w:ascii="Arial" w:hAnsi="Arial" w:cs="Arial"/>
          <w:sz w:val="22"/>
          <w:szCs w:val="22"/>
        </w:rPr>
        <w:t xml:space="preserve"> 27. 8. 2015</w:t>
      </w:r>
    </w:p>
    <w:p w:rsidR="00793763" w:rsidRPr="00205A1B" w:rsidRDefault="00793763" w:rsidP="00793763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Sejmuto z úřední desky dne:</w:t>
      </w:r>
      <w:r w:rsidR="00C42173">
        <w:rPr>
          <w:rFonts w:ascii="Arial" w:hAnsi="Arial" w:cs="Arial"/>
          <w:sz w:val="22"/>
          <w:szCs w:val="22"/>
        </w:rPr>
        <w:t xml:space="preserve"> 15. 9. 2015</w:t>
      </w:r>
    </w:p>
    <w:p w:rsidR="00793763" w:rsidRPr="00205A1B" w:rsidRDefault="00793763" w:rsidP="00793763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 w:rsidRPr="00205A1B">
        <w:rPr>
          <w:rFonts w:ascii="Arial" w:hAnsi="Arial" w:cs="Arial"/>
          <w:sz w:val="22"/>
          <w:szCs w:val="22"/>
        </w:rPr>
        <w:t>Zasláno příslušnému správci daně dne:</w:t>
      </w:r>
      <w:r w:rsidR="00C42173">
        <w:rPr>
          <w:rFonts w:ascii="Arial" w:hAnsi="Arial" w:cs="Arial"/>
          <w:sz w:val="22"/>
          <w:szCs w:val="22"/>
        </w:rPr>
        <w:t xml:space="preserve"> 17. 9. 2015</w:t>
      </w:r>
      <w:bookmarkStart w:id="0" w:name="_GoBack"/>
      <w:bookmarkEnd w:id="0"/>
    </w:p>
    <w:p w:rsidR="0070437F" w:rsidRPr="00205A1B" w:rsidRDefault="00793763" w:rsidP="00DE2A6B">
      <w:pPr>
        <w:pStyle w:val="Zkladntext"/>
        <w:rPr>
          <w:rFonts w:ascii="Arial" w:hAnsi="Arial" w:cs="Arial"/>
        </w:rPr>
      </w:pPr>
      <w:r w:rsidRPr="00205A1B">
        <w:rPr>
          <w:rFonts w:ascii="Arial" w:hAnsi="Arial" w:cs="Arial"/>
          <w:sz w:val="22"/>
          <w:szCs w:val="22"/>
        </w:rPr>
        <w:t>Zveřejnění obecně závazné vyhlášky bylo shodně provedeno na elektronické úřední desce.</w:t>
      </w:r>
    </w:p>
    <w:sectPr w:rsidR="0070437F" w:rsidRPr="00205A1B" w:rsidSect="008C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6E"/>
    <w:rsid w:val="00056F86"/>
    <w:rsid w:val="00072FAA"/>
    <w:rsid w:val="000D1FAD"/>
    <w:rsid w:val="000D5387"/>
    <w:rsid w:val="00205A1B"/>
    <w:rsid w:val="00255648"/>
    <w:rsid w:val="00256AE1"/>
    <w:rsid w:val="0049739E"/>
    <w:rsid w:val="005C6626"/>
    <w:rsid w:val="006B6DC6"/>
    <w:rsid w:val="00793763"/>
    <w:rsid w:val="00880918"/>
    <w:rsid w:val="008C3E30"/>
    <w:rsid w:val="008C4EE3"/>
    <w:rsid w:val="00937EAA"/>
    <w:rsid w:val="0095478C"/>
    <w:rsid w:val="00AF237B"/>
    <w:rsid w:val="00C05DB6"/>
    <w:rsid w:val="00C42173"/>
    <w:rsid w:val="00C7286E"/>
    <w:rsid w:val="00DE2A6B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937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3763"/>
    <w:rPr>
      <w:rFonts w:ascii="Times New Roman" w:eastAsia="Andale Sans UI" w:hAnsi="Times New Roman" w:cs="Times New Roman"/>
      <w:kern w:val="2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AE1"/>
    <w:rPr>
      <w:rFonts w:ascii="Tahoma" w:eastAsia="Andale Sans UI" w:hAnsi="Tahoma" w:cs="Tahoma"/>
      <w:kern w:val="2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937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3763"/>
    <w:rPr>
      <w:rFonts w:ascii="Times New Roman" w:eastAsia="Andale Sans UI" w:hAnsi="Times New Roman" w:cs="Times New Roman"/>
      <w:kern w:val="2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AE1"/>
    <w:rPr>
      <w:rFonts w:ascii="Tahoma" w:eastAsia="Andale Sans UI" w:hAnsi="Tahoma" w:cs="Tahoma"/>
      <w:kern w:val="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5</cp:revision>
  <cp:lastPrinted>2015-08-26T11:57:00Z</cp:lastPrinted>
  <dcterms:created xsi:type="dcterms:W3CDTF">2015-08-26T12:04:00Z</dcterms:created>
  <dcterms:modified xsi:type="dcterms:W3CDTF">2015-09-17T06:03:00Z</dcterms:modified>
</cp:coreProperties>
</file>